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ahoma" w:cs="Tahoma" w:eastAsia="Tahoma" w:hAnsi="Tahoma"/>
          <w:b w:val="1"/>
          <w:sz w:val="2"/>
          <w:szCs w:val="2"/>
        </w:rPr>
      </w:pPr>
      <w:r w:rsidDel="00000000" w:rsidR="00000000" w:rsidRPr="00000000">
        <w:rPr>
          <w:rtl w:val="0"/>
        </w:rPr>
      </w:r>
    </w:p>
    <w:p w:rsidR="00000000" w:rsidDel="00000000" w:rsidP="00000000" w:rsidRDefault="00000000" w:rsidRPr="00000000" w14:paraId="00000002">
      <w:pPr>
        <w:spacing w:after="12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EXECUTIVE OFFICE OF THE PRESIDENT</w:t>
      </w:r>
    </w:p>
    <w:p w:rsidR="00000000" w:rsidDel="00000000" w:rsidP="00000000" w:rsidRDefault="00000000" w:rsidRPr="00000000" w14:paraId="00000003">
      <w:pPr>
        <w:spacing w:after="12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OFFICE OF THE CHIEF OF STAFF AND HEAD OF THE PUBLIC SERVICE</w:t>
      </w:r>
    </w:p>
    <w:p w:rsidR="00000000" w:rsidDel="00000000" w:rsidP="00000000" w:rsidRDefault="00000000" w:rsidRPr="00000000" w14:paraId="00000004">
      <w:pPr>
        <w:jc w:val="center"/>
        <w:rPr>
          <w:rFonts w:ascii="Tahoma" w:cs="Tahoma" w:eastAsia="Tahoma" w:hAnsi="Tahoma"/>
          <w:b w:val="1"/>
          <w:sz w:val="6"/>
          <w:szCs w:val="6"/>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REGULATORY AUTHORITIES AND AGENCIES REPORTING TOOL - OCTOBER 2025</w:t>
      </w:r>
    </w:p>
    <w:p w:rsidR="00000000" w:rsidDel="00000000" w:rsidP="00000000" w:rsidRDefault="00000000" w:rsidRPr="00000000" w14:paraId="00000006">
      <w:pPr>
        <w:rPr>
          <w:rFonts w:ascii="Tahoma" w:cs="Tahoma" w:eastAsia="Tahoma" w:hAnsi="Tahoma"/>
          <w:b w:val="1"/>
          <w:color w:val="c00000"/>
          <w:sz w:val="12"/>
          <w:szCs w:val="12"/>
        </w:rPr>
      </w:pPr>
      <w:r w:rsidDel="00000000" w:rsidR="00000000" w:rsidRPr="00000000">
        <w:rPr>
          <w:rtl w:val="0"/>
        </w:rPr>
      </w:r>
    </w:p>
    <w:p w:rsidR="00000000" w:rsidDel="00000000" w:rsidP="00000000" w:rsidRDefault="00000000" w:rsidRPr="00000000" w14:paraId="00000007">
      <w:pPr>
        <w:ind w:left="426" w:hanging="426"/>
        <w:rPr>
          <w:rFonts w:ascii="Tahoma" w:cs="Tahoma" w:eastAsia="Tahoma" w:hAnsi="Tahoma"/>
          <w:b w:val="1"/>
          <w:color w:val="c00000"/>
          <w:sz w:val="23"/>
          <w:szCs w:val="23"/>
        </w:rPr>
      </w:pPr>
      <w:r w:rsidDel="00000000" w:rsidR="00000000" w:rsidRPr="00000000">
        <w:rPr>
          <w:rFonts w:ascii="Tahoma" w:cs="Tahoma" w:eastAsia="Tahoma" w:hAnsi="Tahoma"/>
          <w:b w:val="1"/>
          <w:sz w:val="23"/>
          <w:szCs w:val="23"/>
          <w:rtl w:val="0"/>
        </w:rPr>
        <w:t xml:space="preserve">To: </w:t>
      </w:r>
      <w:r w:rsidDel="00000000" w:rsidR="00000000" w:rsidRPr="00000000">
        <w:rPr>
          <w:rFonts w:ascii="Tahoma" w:cs="Tahoma" w:eastAsia="Tahoma" w:hAnsi="Tahoma"/>
          <w:b w:val="1"/>
          <w:color w:val="c00000"/>
          <w:sz w:val="23"/>
          <w:szCs w:val="23"/>
          <w:rtl w:val="0"/>
        </w:rPr>
        <w:t xml:space="preserve">All Chairpersons; and </w:t>
      </w:r>
    </w:p>
    <w:p w:rsidR="00000000" w:rsidDel="00000000" w:rsidP="00000000" w:rsidRDefault="00000000" w:rsidRPr="00000000" w14:paraId="00000008">
      <w:pPr>
        <w:ind w:left="426" w:firstLine="0"/>
        <w:rPr>
          <w:rFonts w:ascii="Tahoma" w:cs="Tahoma" w:eastAsia="Tahoma" w:hAnsi="Tahoma"/>
          <w:b w:val="1"/>
          <w:color w:val="c00000"/>
          <w:sz w:val="23"/>
          <w:szCs w:val="23"/>
        </w:rPr>
      </w:pPr>
      <w:r w:rsidDel="00000000" w:rsidR="00000000" w:rsidRPr="00000000">
        <w:rPr>
          <w:rFonts w:ascii="Tahoma" w:cs="Tahoma" w:eastAsia="Tahoma" w:hAnsi="Tahoma"/>
          <w:b w:val="1"/>
          <w:color w:val="c00000"/>
          <w:sz w:val="23"/>
          <w:szCs w:val="23"/>
          <w:rtl w:val="0"/>
        </w:rPr>
        <w:t xml:space="preserve">All Chief Executive Officers of Regulatory Authorities and Agencies</w:t>
      </w:r>
    </w:p>
    <w:p w:rsidR="00000000" w:rsidDel="00000000" w:rsidP="00000000" w:rsidRDefault="00000000" w:rsidRPr="00000000" w14:paraId="00000009">
      <w:pPr>
        <w:rPr>
          <w:rFonts w:ascii="Tahoma" w:cs="Tahoma" w:eastAsia="Tahoma" w:hAnsi="Tahoma"/>
          <w:b w:val="1"/>
          <w:sz w:val="2"/>
          <w:szCs w:val="2"/>
        </w:rPr>
      </w:pPr>
      <w:r w:rsidDel="00000000" w:rsidR="00000000" w:rsidRPr="00000000">
        <w:rPr>
          <w:rtl w:val="0"/>
        </w:rPr>
      </w:r>
    </w:p>
    <w:p w:rsidR="00000000" w:rsidDel="00000000" w:rsidP="00000000" w:rsidRDefault="00000000" w:rsidRPr="00000000" w14:paraId="0000000A">
      <w:pPr>
        <w:spacing w:before="240" w:lineRule="auto"/>
        <w:rPr>
          <w:rFonts w:ascii="Tahoma" w:cs="Tahoma" w:eastAsia="Tahoma" w:hAnsi="Tahoma"/>
          <w:b w:val="1"/>
          <w:color w:val="0070c0"/>
          <w:sz w:val="24"/>
          <w:szCs w:val="24"/>
        </w:rPr>
      </w:pPr>
      <w:r w:rsidDel="00000000" w:rsidR="00000000" w:rsidRPr="00000000">
        <w:rPr>
          <w:rFonts w:ascii="Tahoma" w:cs="Tahoma" w:eastAsia="Tahoma" w:hAnsi="Tahoma"/>
          <w:b w:val="1"/>
          <w:color w:val="0070c0"/>
          <w:sz w:val="24"/>
          <w:szCs w:val="24"/>
          <w:rtl w:val="0"/>
        </w:rPr>
        <w:t xml:space="preserve">Background</w:t>
      </w:r>
    </w:p>
    <w:p w:rsidR="00000000" w:rsidDel="00000000" w:rsidP="00000000" w:rsidRDefault="00000000" w:rsidRPr="00000000" w14:paraId="0000000B">
      <w:pPr>
        <w:spacing w:line="30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This Reporting Tool should be read together with:</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00" w:lineRule="auto"/>
        <w:ind w:left="709" w:right="0" w:hanging="142.00000000000003"/>
        <w:jc w:val="both"/>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first edition of the Regulatory Authorities and Agencies Reporting Tool 2024/2025 which can obtained on the Downloads Tab of the Chief of Staff and Head of the Public Service’s (COS&amp;HOPS) Website at </w:t>
      </w:r>
      <w:hyperlink r:id="rId6">
        <w:r w:rsidDel="00000000" w:rsidR="00000000" w:rsidRPr="00000000">
          <w:rPr>
            <w:rFonts w:ascii="Tahoma" w:cs="Tahoma" w:eastAsia="Tahoma" w:hAnsi="Tahoma"/>
            <w:b w:val="0"/>
            <w:i w:val="0"/>
            <w:smallCaps w:val="0"/>
            <w:strike w:val="0"/>
            <w:color w:val="0563c1"/>
            <w:sz w:val="24"/>
            <w:szCs w:val="24"/>
            <w:u w:val="single"/>
            <w:shd w:fill="auto" w:val="clear"/>
            <w:vertAlign w:val="baseline"/>
            <w:rtl w:val="0"/>
          </w:rPr>
          <w:t xml:space="preserve">www.headofpublicservice.go.ke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00" w:lineRule="auto"/>
        <w:ind w:left="709" w:right="0" w:hanging="142.00000000000003"/>
        <w:jc w:val="both"/>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your Bi-Annual Reporting Tools already submitted in October 2024, and April 2025.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spacing w:after="0" w:line="300" w:lineRule="auto"/>
        <w:jc w:val="both"/>
        <w:rPr/>
      </w:pPr>
      <w:r w:rsidDel="00000000" w:rsidR="00000000" w:rsidRPr="00000000">
        <w:rPr>
          <w:rtl w:val="0"/>
        </w:rPr>
      </w:r>
    </w:p>
    <w:p w:rsidR="00000000" w:rsidDel="00000000" w:rsidP="00000000" w:rsidRDefault="00000000" w:rsidRPr="00000000" w14:paraId="00000010">
      <w:pPr>
        <w:spacing w:after="0" w:line="30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issuance of this second edition signifies the progression of the Campaign on the Revitalisation and Re-energisation of Regulatory Authorities and Agencies (RAAs) into a more advanced phase characterised by concrete and visible delivery, measurable outcomes, and observable improvements in the performance and service delivery of RAAs. This is in line with the mandate of COS&amp;HOPS as set out in Executive Order No. 1 of 2025, which assigns, among other responsibilities: </w:t>
      </w:r>
    </w:p>
    <w:p w:rsidR="00000000" w:rsidDel="00000000" w:rsidP="00000000" w:rsidRDefault="00000000" w:rsidRPr="00000000" w14:paraId="00000011">
      <w:pPr>
        <w:spacing w:after="0" w:line="300" w:lineRule="auto"/>
        <w:jc w:val="both"/>
        <w:rPr>
          <w:rFonts w:ascii="Tahoma" w:cs="Tahoma" w:eastAsia="Tahoma" w:hAnsi="Tahoma"/>
          <w:sz w:val="12"/>
          <w:szCs w:val="1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promotion of ethics, good governance, efficiency, and effectiveness in the provision of public services through the deployment of right skills, values, and leadership in the Kenyan Public Service;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both"/>
        <w:rPr>
          <w:rFonts w:ascii="Tahoma" w:cs="Tahoma" w:eastAsia="Tahoma" w:hAnsi="Tahoma"/>
          <w:b w:val="0"/>
          <w:i w:val="0"/>
          <w:smallCaps w:val="0"/>
          <w:strike w:val="0"/>
          <w:color w:val="000000"/>
          <w:sz w:val="10"/>
          <w:szCs w:val="10"/>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 liaison with Cabinet Secretaries and Principal Secretaries, oversight over the administration of all state corporations and established public entities, as well as facilitate the resolution of operational challenges and major policy concerns as escalated; and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left"/>
        <w:rPr>
          <w:rFonts w:ascii="Tahoma" w:cs="Tahoma" w:eastAsia="Tahoma" w:hAnsi="Tahoma"/>
          <w:b w:val="0"/>
          <w:i w:val="0"/>
          <w:smallCaps w:val="0"/>
          <w:strike w:val="0"/>
          <w:color w:val="000000"/>
          <w:sz w:val="14"/>
          <w:szCs w:val="1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overall effectiveness of the Public Service.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720" w:right="0" w:firstLine="0"/>
        <w:jc w:val="both"/>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30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As has been consistently emphasised throughout this reform journey, RAAs are critical instruments of national transformation, serving as guardians of standards, order, and accountability across the economy. </w:t>
      </w:r>
    </w:p>
    <w:p w:rsidR="00000000" w:rsidDel="00000000" w:rsidP="00000000" w:rsidRDefault="00000000" w:rsidRPr="00000000" w14:paraId="00000019">
      <w:pPr>
        <w:spacing w:after="0" w:line="300" w:lineRule="auto"/>
        <w:jc w:val="both"/>
        <w:rPr>
          <w:rFonts w:ascii="Tahoma" w:cs="Tahoma" w:eastAsia="Tahoma" w:hAnsi="Tahoma"/>
          <w:sz w:val="12"/>
          <w:szCs w:val="12"/>
        </w:rPr>
      </w:pPr>
      <w:r w:rsidDel="00000000" w:rsidR="00000000" w:rsidRPr="00000000">
        <w:rPr>
          <w:rtl w:val="0"/>
        </w:rPr>
      </w:r>
    </w:p>
    <w:p w:rsidR="00000000" w:rsidDel="00000000" w:rsidP="00000000" w:rsidRDefault="00000000" w:rsidRPr="00000000" w14:paraId="0000001A">
      <w:pPr>
        <w:spacing w:after="0" w:line="30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We are on course, and this exercise marks the next milestone in a structured and deliberate reform trajectory towards a high-performing, accountable, and citizen-focused regulatory ecosystem.</w:t>
      </w:r>
    </w:p>
    <w:p w:rsidR="00000000" w:rsidDel="00000000" w:rsidP="00000000" w:rsidRDefault="00000000" w:rsidRPr="00000000" w14:paraId="0000001B">
      <w:pPr>
        <w:spacing w:after="0" w:lineRule="auto"/>
        <w:ind w:firstLine="72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DETAILS OF REGULATORY AUTHORITY/AGENCY</w:t>
      </w:r>
    </w:p>
    <w:tbl>
      <w:tblPr>
        <w:tblStyle w:val="Table1"/>
        <w:tblW w:w="10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4"/>
        <w:tblGridChange w:id="0">
          <w:tblGrid>
            <w:gridCol w:w="10214"/>
          </w:tblGrid>
        </w:tblGridChange>
      </w:tblGrid>
      <w:tr>
        <w:trPr>
          <w:cantSplit w:val="0"/>
          <w:tblHeader w:val="0"/>
        </w:trPr>
        <w:tc>
          <w:tcPr/>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Name of Regulatory Authority/Agency: </w:t>
            </w:r>
          </w:p>
          <w:p w:rsidR="00000000" w:rsidDel="00000000" w:rsidP="00000000" w:rsidRDefault="00000000" w:rsidRPr="00000000" w14:paraId="0000001E">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1F">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Official Contact Details: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(Telephone and Email Address)</w:t>
            </w:r>
            <w:r w:rsidDel="00000000" w:rsidR="00000000" w:rsidRPr="00000000">
              <w:rPr>
                <w:rtl w:val="0"/>
              </w:rPr>
            </w:r>
          </w:p>
          <w:p w:rsidR="00000000" w:rsidDel="00000000" w:rsidP="00000000" w:rsidRDefault="00000000" w:rsidRPr="00000000" w14:paraId="00000021">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2">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Name of Chairperson of Board: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(indicate whether the Chairperson is Executive or Non-Executive)</w:t>
            </w:r>
          </w:p>
          <w:p w:rsidR="00000000" w:rsidDel="00000000" w:rsidP="00000000" w:rsidRDefault="00000000" w:rsidRPr="00000000" w14:paraId="00000025">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6">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Name of Chief Executive Officer:</w:t>
            </w:r>
          </w:p>
          <w:p w:rsidR="00000000" w:rsidDel="00000000" w:rsidP="00000000" w:rsidRDefault="00000000" w:rsidRPr="00000000" w14:paraId="00000028">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9">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Name of the Corporation Secretary/Head of Legal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Name of the Head of Internal Audit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Indicate if there have been any changes in the Governance Structure of the Board since the last submission in April 2025. If so, give details: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1434"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3">
      <w:pPr>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09" w:right="0" w:hanging="851"/>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2. (i) UPLOAD YOUR GRID OUTLINING THE FREQUENCY OF DEPLOYMENT OF THE   POWERS/AUTHORITY TO REGULATE AVAILABLE TO YOU THAT YOU SUBMITTED FOR OCTOBER 2024 </w:t>
      </w:r>
    </w:p>
    <w:p w:rsidR="00000000" w:rsidDel="00000000" w:rsidP="00000000" w:rsidRDefault="00000000" w:rsidRPr="00000000" w14:paraId="00000037">
      <w:pPr>
        <w:jc w:val="both"/>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09" w:right="0" w:hanging="567"/>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(ii) UPLOAD YOUR GRID OUTLINING THE FREQUENCY OF DEPLOYMENT OF THE POWERS/AUTHORITY TO REGULATE AVAILABLE TO YOU THAT YOU SUBMITTED FOR APRIL 2025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09" w:right="0" w:hanging="567"/>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(iii) UPLOAD YOUR GRID OUTLINING THE FREQUENCY OF DEPLOYMENT OF THE POWERS/AUTHORITY TO REGULATE AVAILABLE TO YOU FOR SUBMISSION THIS OCTOBER 2025.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hanging="568"/>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(iv) COMPARE AND CONTRAST THE GRIDS IN NO. 2 (I), (II) AND (III) ABOVE.                    IN COMPARING AND CONTRASTING, PROVIDE EXPLANATIONS ABOUT: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93" w:right="0" w:hanging="426"/>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any differences upwards or downwards in terms of increment or decrease; and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hanging="426"/>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993" w:right="0" w:hanging="426"/>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any changes in trends and patterns in your regulatory environment that accounts for the differences.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hanging="426"/>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hanging="709"/>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 (i) Rate your performance from Grids No. 2 (i), (ii) and (iii) above by ticking the band you deem appropriate below:</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1134" w:right="0" w:hanging="140.99999999999994"/>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 – 3 (Poor)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1134" w:right="0" w:hanging="140.99999999999994"/>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4 - 5 (Average)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34"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1134" w:right="0" w:hanging="140.99999999999994"/>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6 - 7 (Fair)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34"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1134" w:right="0" w:hanging="140.99999999999994"/>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8 – 9 (Good)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34"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1134" w:right="0" w:hanging="140.99999999999994"/>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10 (Excellent)</w:t>
      </w:r>
    </w:p>
    <w:p w:rsidR="00000000" w:rsidDel="00000000" w:rsidP="00000000" w:rsidRDefault="00000000" w:rsidRPr="00000000" w14:paraId="00000050">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426"/>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(ii) If you assessed yourself in the band between 8 – 10, please provide details of no more than three of the key enablers for this performance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436"/>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230" w:right="0" w:hanging="237.00000000000003"/>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230" w:right="0" w:hanging="237.00000000000003"/>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230" w:right="0" w:hanging="237.00000000000003"/>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3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hanging="568"/>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(iii) If you did not score yourself at full marks i.e. 10, please account for the deficit in marks by providing details below of not more than three of the key reasons for this performance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230" w:right="0" w:hanging="237.00000000000003"/>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230" w:right="0" w:hanging="237.00000000000003"/>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230" w:right="0" w:hanging="237.00000000000003"/>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30" w:right="0" w:firstLine="0"/>
        <w:jc w:val="both"/>
        <w:rPr>
          <w:rFonts w:ascii="Tahoma" w:cs="Tahoma" w:eastAsia="Tahoma" w:hAnsi="Tahoma"/>
          <w:b w:val="1"/>
          <w:i w:val="0"/>
          <w:smallCaps w:val="0"/>
          <w:strike w:val="0"/>
          <w:color w:val="2e75b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30" w:right="0" w:firstLine="0"/>
        <w:jc w:val="both"/>
        <w:rPr>
          <w:rFonts w:ascii="Tahoma" w:cs="Tahoma" w:eastAsia="Tahoma" w:hAnsi="Tahoma"/>
          <w:b w:val="1"/>
          <w:i w:val="0"/>
          <w:smallCaps w:val="0"/>
          <w:strike w:val="0"/>
          <w:color w:val="2e75b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30" w:right="0" w:firstLine="0"/>
        <w:jc w:val="both"/>
        <w:rPr>
          <w:rFonts w:ascii="Tahoma" w:cs="Tahoma" w:eastAsia="Tahoma" w:hAnsi="Tahoma"/>
          <w:b w:val="1"/>
          <w:i w:val="0"/>
          <w:smallCaps w:val="0"/>
          <w:strike w:val="0"/>
          <w:color w:val="2e75b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30" w:right="0" w:firstLine="0"/>
        <w:jc w:val="both"/>
        <w:rPr>
          <w:rFonts w:ascii="Tahoma" w:cs="Tahoma" w:eastAsia="Tahoma" w:hAnsi="Tahoma"/>
          <w:b w:val="1"/>
          <w:i w:val="0"/>
          <w:smallCaps w:val="0"/>
          <w:strike w:val="0"/>
          <w:color w:val="2e75b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30" w:right="0" w:firstLine="0"/>
        <w:jc w:val="both"/>
        <w:rPr>
          <w:rFonts w:ascii="Tahoma" w:cs="Tahoma" w:eastAsia="Tahoma" w:hAnsi="Tahoma"/>
          <w:b w:val="1"/>
          <w:i w:val="0"/>
          <w:smallCaps w:val="0"/>
          <w:strike w:val="0"/>
          <w:color w:val="2e75b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30" w:right="0" w:firstLine="0"/>
        <w:jc w:val="both"/>
        <w:rPr>
          <w:rFonts w:ascii="Tahoma" w:cs="Tahoma" w:eastAsia="Tahoma" w:hAnsi="Tahoma"/>
          <w:b w:val="1"/>
          <w:i w:val="0"/>
          <w:smallCaps w:val="0"/>
          <w:strike w:val="0"/>
          <w:color w:val="2e75b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hanging="709"/>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4. (i) UPLOAD YOUR RESPONSE TO THE QUESTION REGARDING THE IMPACT OF THE EXERCISE OF YOUR REGULATORY MANDATE FOR APRIL 2025</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hanging="425"/>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(ii) UPLOAD YOUR RESPONSE TO THE QUESTION REGARDING THE IMPACT OF THE EXERCISE OF YOUR REGULATORY MANDATE FOR THIS OCTOBER 2025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09" w:right="0" w:hanging="567"/>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(iii) ACCOUNT FOR THE DIFFERENCE BETWEEN (I) AND (II) ABOVE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09" w:right="0" w:hanging="567"/>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(iv) IF THERE WAS NO CHANGE BETWEEN (I) AND (II) ABOVE, PROVIDE AN EXPLANATION FOR THE SAME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hanging="709"/>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5. IN 2025, HAS YOUR ENTITY RECEIVED ANY: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hanging="709"/>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567" w:right="0" w:hanging="141"/>
        <w:jc w:val="both"/>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External recognition/acknowledgement regarding the execution and performance of your Regulatory Role from the public and/or your other stakeholders?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567" w:right="0" w:hanging="141"/>
        <w:jc w:val="both"/>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Citation(s)/Publicity in the press regarding the execution and performance of your Regulatory Role?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567" w:right="0" w:hanging="141"/>
        <w:jc w:val="both"/>
        <w:rPr>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Awards, whether locally or internally, regarding the execution and performance of your Regulatory Role?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ahoma" w:cs="Tahoma" w:eastAsia="Tahoma" w:hAnsi="Tahoma"/>
          <w:b w:val="1"/>
          <w:i w:val="0"/>
          <w:smallCaps w:val="0"/>
          <w:strike w:val="0"/>
          <w:color w:val="c00000"/>
          <w:sz w:val="24"/>
          <w:szCs w:val="24"/>
          <w:u w:val="none"/>
          <w:shd w:fill="auto" w:val="clear"/>
          <w:vertAlign w:val="baseline"/>
        </w:rPr>
      </w:pPr>
      <w:r w:rsidDel="00000000" w:rsidR="00000000" w:rsidRPr="00000000">
        <w:rPr>
          <w:rFonts w:ascii="Tahoma" w:cs="Tahoma" w:eastAsia="Tahoma" w:hAnsi="Tahoma"/>
          <w:b w:val="1"/>
          <w:i w:val="0"/>
          <w:smallCaps w:val="0"/>
          <w:strike w:val="0"/>
          <w:color w:val="c00000"/>
          <w:sz w:val="24"/>
          <w:szCs w:val="24"/>
          <w:u w:val="none"/>
          <w:shd w:fill="auto" w:val="clear"/>
          <w:vertAlign w:val="baseline"/>
          <w:rtl w:val="0"/>
        </w:rPr>
        <w:t xml:space="preserve">*Explain the above in detail including copies of the relevant certificates, awards, excerpts etc.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ahoma" w:cs="Tahoma" w:eastAsia="Tahoma" w:hAnsi="Tahoma"/>
          <w:b w:val="1"/>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ahoma" w:cs="Tahoma" w:eastAsia="Tahoma" w:hAnsi="Tahoma"/>
          <w:b w:val="1"/>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ahoma" w:cs="Tahoma" w:eastAsia="Tahoma" w:hAnsi="Tahoma"/>
          <w:b w:val="1"/>
          <w:i w:val="0"/>
          <w:smallCaps w:val="0"/>
          <w:strike w:val="0"/>
          <w:color w:val="c00000"/>
          <w:sz w:val="24"/>
          <w:szCs w:val="24"/>
          <w:u w:val="none"/>
          <w:shd w:fill="auto" w:val="clear"/>
          <w:vertAlign w:val="baseline"/>
        </w:rPr>
      </w:pPr>
      <w:r w:rsidDel="00000000" w:rsidR="00000000" w:rsidRPr="00000000">
        <w:rPr>
          <w:rFonts w:ascii="Tahoma" w:cs="Tahoma" w:eastAsia="Tahoma" w:hAnsi="Tahoma"/>
          <w:b w:val="1"/>
          <w:i w:val="0"/>
          <w:smallCaps w:val="0"/>
          <w:strike w:val="0"/>
          <w:color w:val="c00000"/>
          <w:sz w:val="24"/>
          <w:szCs w:val="24"/>
          <w:u w:val="none"/>
          <w:shd w:fill="auto" w:val="clear"/>
          <w:vertAlign w:val="baseline"/>
          <w:rtl w:val="0"/>
        </w:rPr>
        <w:t xml:space="preserve">New Dates for Submission of October 2025 Reports: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ahoma" w:cs="Tahoma" w:eastAsia="Tahoma" w:hAnsi="Tahoma"/>
          <w:b w:val="1"/>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67" w:right="0" w:hanging="134"/>
        <w:jc w:val="both"/>
        <w:rPr>
          <w:b w:val="1"/>
          <w:i w:val="0"/>
          <w:smallCaps w:val="0"/>
          <w:strike w:val="0"/>
          <w:color w:val="000000"/>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To your respective Standing Committee with a copy to this Office - Friday, 14</w:t>
      </w:r>
      <w:r w:rsidDel="00000000" w:rsidR="00000000" w:rsidRPr="00000000">
        <w:rPr>
          <w:rFonts w:ascii="Tahoma" w:cs="Tahoma" w:eastAsia="Tahoma" w:hAnsi="Tahoma"/>
          <w:b w:val="1"/>
          <w:i w:val="0"/>
          <w:smallCaps w:val="0"/>
          <w:strike w:val="0"/>
          <w:color w:val="000000"/>
          <w:sz w:val="24"/>
          <w:szCs w:val="24"/>
          <w:u w:val="none"/>
          <w:shd w:fill="auto" w:val="clear"/>
          <w:vertAlign w:val="superscript"/>
          <w:rtl w:val="0"/>
        </w:rPr>
        <w:t xml:space="preserve">th</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November, 2025; and</w:t>
      </w:r>
    </w:p>
    <w:p w:rsidR="00000000" w:rsidDel="00000000" w:rsidP="00000000" w:rsidRDefault="00000000" w:rsidRPr="00000000" w14:paraId="000000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567" w:right="0" w:hanging="134"/>
        <w:jc w:val="both"/>
        <w:rPr>
          <w:b w:val="1"/>
          <w:i w:val="0"/>
          <w:smallCaps w:val="0"/>
          <w:strike w:val="0"/>
          <w:color w:val="000000"/>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Standing Committees’ Analytical Reports to this Office through the Principal Secretary – Friday, 28</w:t>
      </w:r>
      <w:r w:rsidDel="00000000" w:rsidR="00000000" w:rsidRPr="00000000">
        <w:rPr>
          <w:rFonts w:ascii="Tahoma" w:cs="Tahoma" w:eastAsia="Tahoma" w:hAnsi="Tahoma"/>
          <w:b w:val="1"/>
          <w:i w:val="0"/>
          <w:smallCaps w:val="0"/>
          <w:strike w:val="0"/>
          <w:color w:val="000000"/>
          <w:sz w:val="24"/>
          <w:szCs w:val="24"/>
          <w:u w:val="none"/>
          <w:shd w:fill="auto" w:val="clear"/>
          <w:vertAlign w:val="superscript"/>
          <w:rtl w:val="0"/>
        </w:rPr>
        <w:t xml:space="preserve">th</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November 2025. </w:t>
      </w:r>
    </w:p>
    <w:p w:rsidR="00000000" w:rsidDel="00000000" w:rsidP="00000000" w:rsidRDefault="00000000" w:rsidRPr="00000000" w14:paraId="0000007A">
      <w:pPr>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7B">
      <w:pPr>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NOTE: Advance Copies of the Reports should be sent to the email below:</w:t>
      </w:r>
    </w:p>
    <w:p w:rsidR="00000000" w:rsidDel="00000000" w:rsidP="00000000" w:rsidRDefault="00000000" w:rsidRPr="00000000" w14:paraId="0000007C">
      <w:pPr>
        <w:jc w:val="both"/>
        <w:rPr>
          <w:rFonts w:ascii="Tahoma" w:cs="Tahoma" w:eastAsia="Tahoma" w:hAnsi="Tahoma"/>
          <w:sz w:val="24"/>
          <w:szCs w:val="24"/>
        </w:rPr>
      </w:pPr>
      <w:bookmarkStart w:colFirst="0" w:colLast="0" w:name="_g5geadns9ms4" w:id="0"/>
      <w:bookmarkEnd w:id="0"/>
      <w:r w:rsidDel="00000000" w:rsidR="00000000" w:rsidRPr="00000000">
        <w:rPr>
          <w:rFonts w:ascii="Tahoma" w:cs="Tahoma" w:eastAsia="Tahoma" w:hAnsi="Tahoma"/>
          <w:b w:val="1"/>
          <w:sz w:val="24"/>
          <w:szCs w:val="24"/>
          <w:rtl w:val="0"/>
        </w:rPr>
        <w:tab/>
      </w:r>
      <w:hyperlink r:id="rId7">
        <w:r w:rsidDel="00000000" w:rsidR="00000000" w:rsidRPr="00000000">
          <w:rPr>
            <w:rFonts w:ascii="Tahoma" w:cs="Tahoma" w:eastAsia="Tahoma" w:hAnsi="Tahoma"/>
            <w:color w:val="0563c1"/>
            <w:sz w:val="24"/>
            <w:szCs w:val="24"/>
            <w:u w:val="single"/>
            <w:rtl w:val="0"/>
          </w:rPr>
          <w:t xml:space="preserve">alrcoffice@headofpublicservice.go.ke</w:t>
        </w:r>
      </w:hyperlink>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7D">
      <w:pPr>
        <w:jc w:val="both"/>
        <w:rPr>
          <w:rFonts w:ascii="Tahoma" w:cs="Tahoma" w:eastAsia="Tahoma" w:hAnsi="Tahoma"/>
          <w:b w:val="1"/>
          <w:color w:val="2e75b5"/>
          <w:sz w:val="24"/>
          <w:szCs w:val="24"/>
        </w:rPr>
      </w:pPr>
      <w:r w:rsidDel="00000000" w:rsidR="00000000" w:rsidRPr="00000000">
        <w:rPr>
          <w:rtl w:val="0"/>
        </w:rPr>
      </w:r>
    </w:p>
    <w:sectPr>
      <w:headerReference r:id="rId8" w:type="default"/>
      <w:footerReference r:id="rId9" w:type="default"/>
      <w:pgSz w:h="15840" w:w="12240" w:orient="portrait"/>
      <w:pgMar w:bottom="1008" w:top="1218" w:left="1296" w:right="616" w:header="36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font w:name="Noto Sans Symbols"/>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Page </w:t>
    </w:r>
    <w:r w:rsidDel="00000000" w:rsidR="00000000" w:rsidRPr="00000000">
      <w:rPr>
        <w:rFonts w:ascii="Tahoma" w:cs="Tahoma" w:eastAsia="Tahoma" w:hAnsi="Tahom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of </w:t>
    </w:r>
    <w:r w:rsidDel="00000000" w:rsidR="00000000" w:rsidRPr="00000000">
      <w:rPr>
        <w:rFonts w:ascii="Tahoma" w:cs="Tahoma" w:eastAsia="Tahoma" w:hAnsi="Tahoma"/>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536"/>
        <w:tab w:val="center" w:leader="none" w:pos="5256"/>
      </w:tabs>
      <w:spacing w:after="0" w:before="0" w:line="240" w:lineRule="auto"/>
      <w:ind w:left="0" w:right="0" w:hanging="11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RAAs Reporting Tool – Second Edition – October 2025 – Office of COS &amp;HOPS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0" distT="0" distL="0" distR="0">
          <wp:extent cx="556638" cy="50961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6638" cy="5096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Roman"/>
      <w:lvlText w:val="%1."/>
      <w:lvlJc w:val="right"/>
      <w:pPr>
        <w:ind w:left="793" w:hanging="360"/>
      </w:pPr>
      <w:rPr>
        <w:rFonts w:ascii="Tahoma" w:cs="Tahoma" w:eastAsia="Tahoma" w:hAnsi="Tahoma"/>
        <w:sz w:val="24"/>
        <w:szCs w:val="24"/>
      </w:rPr>
    </w:lvl>
    <w:lvl w:ilvl="1">
      <w:start w:val="1"/>
      <w:numFmt w:val="lowerLetter"/>
      <w:lvlText w:val="%2."/>
      <w:lvlJc w:val="left"/>
      <w:pPr>
        <w:ind w:left="1513" w:hanging="360"/>
      </w:pPr>
      <w:rPr/>
    </w:lvl>
    <w:lvl w:ilvl="2">
      <w:start w:val="1"/>
      <w:numFmt w:val="lowerRoman"/>
      <w:lvlText w:val="%3."/>
      <w:lvlJc w:val="right"/>
      <w:pPr>
        <w:ind w:left="2233" w:hanging="180"/>
      </w:pPr>
      <w:rPr/>
    </w:lvl>
    <w:lvl w:ilvl="3">
      <w:start w:val="1"/>
      <w:numFmt w:val="decimal"/>
      <w:lvlText w:val="%4."/>
      <w:lvlJc w:val="left"/>
      <w:pPr>
        <w:ind w:left="2953" w:hanging="360"/>
      </w:pPr>
      <w:rPr/>
    </w:lvl>
    <w:lvl w:ilvl="4">
      <w:start w:val="1"/>
      <w:numFmt w:val="lowerLetter"/>
      <w:lvlText w:val="%5."/>
      <w:lvlJc w:val="left"/>
      <w:pPr>
        <w:ind w:left="3673" w:hanging="360"/>
      </w:pPr>
      <w:rPr/>
    </w:lvl>
    <w:lvl w:ilvl="5">
      <w:start w:val="1"/>
      <w:numFmt w:val="lowerRoman"/>
      <w:lvlText w:val="%6."/>
      <w:lvlJc w:val="right"/>
      <w:pPr>
        <w:ind w:left="4393" w:hanging="180"/>
      </w:pPr>
      <w:rPr/>
    </w:lvl>
    <w:lvl w:ilvl="6">
      <w:start w:val="1"/>
      <w:numFmt w:val="decimal"/>
      <w:lvlText w:val="%7."/>
      <w:lvlJc w:val="left"/>
      <w:pPr>
        <w:ind w:left="5113" w:hanging="360"/>
      </w:pPr>
      <w:rPr/>
    </w:lvl>
    <w:lvl w:ilvl="7">
      <w:start w:val="1"/>
      <w:numFmt w:val="lowerLetter"/>
      <w:lvlText w:val="%8."/>
      <w:lvlJc w:val="left"/>
      <w:pPr>
        <w:ind w:left="5833" w:hanging="360"/>
      </w:pPr>
      <w:rPr/>
    </w:lvl>
    <w:lvl w:ilvl="8">
      <w:start w:val="1"/>
      <w:numFmt w:val="lowerRoman"/>
      <w:lvlText w:val="%9."/>
      <w:lvlJc w:val="right"/>
      <w:pPr>
        <w:ind w:left="6553" w:hanging="180"/>
      </w:pPr>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rFonts w:ascii="Times New Roman" w:cs="Times New Roman" w:eastAsia="Times New Roman" w:hAnsi="Times New Roman"/>
      </w:rPr>
    </w:lvl>
    <w:lvl w:ilvl="2">
      <w:start w:val="1"/>
      <w:numFmt w:val="lowerRoman"/>
      <w:lvlText w:val="%3."/>
      <w:lvlJc w:val="right"/>
      <w:pPr>
        <w:ind w:left="2880" w:hanging="180"/>
      </w:pPr>
      <w:rPr>
        <w:rFonts w:ascii="Times New Roman" w:cs="Times New Roman" w:eastAsia="Times New Roman" w:hAnsi="Times New Roman"/>
      </w:rPr>
    </w:lvl>
    <w:lvl w:ilvl="3">
      <w:start w:val="1"/>
      <w:numFmt w:val="decimal"/>
      <w:lvlText w:val="%4."/>
      <w:lvlJc w:val="left"/>
      <w:pPr>
        <w:ind w:left="3600" w:hanging="360"/>
      </w:pPr>
      <w:rPr>
        <w:rFonts w:ascii="Times New Roman" w:cs="Times New Roman" w:eastAsia="Times New Roman" w:hAnsi="Times New Roman"/>
      </w:rPr>
    </w:lvl>
    <w:lvl w:ilvl="4">
      <w:start w:val="1"/>
      <w:numFmt w:val="lowerLetter"/>
      <w:lvlText w:val="%5."/>
      <w:lvlJc w:val="left"/>
      <w:pPr>
        <w:ind w:left="4320" w:hanging="360"/>
      </w:pPr>
      <w:rPr>
        <w:rFonts w:ascii="Times New Roman" w:cs="Times New Roman" w:eastAsia="Times New Roman" w:hAnsi="Times New Roman"/>
      </w:rPr>
    </w:lvl>
    <w:lvl w:ilvl="5">
      <w:start w:val="1"/>
      <w:numFmt w:val="lowerRoman"/>
      <w:lvlText w:val="%6."/>
      <w:lvlJc w:val="right"/>
      <w:pPr>
        <w:ind w:left="5040" w:hanging="180"/>
      </w:pPr>
      <w:rPr>
        <w:rFonts w:ascii="Times New Roman" w:cs="Times New Roman" w:eastAsia="Times New Roman" w:hAnsi="Times New Roman"/>
      </w:rPr>
    </w:lvl>
    <w:lvl w:ilvl="6">
      <w:start w:val="1"/>
      <w:numFmt w:val="decimal"/>
      <w:lvlText w:val="%7."/>
      <w:lvlJc w:val="left"/>
      <w:pPr>
        <w:ind w:left="5760" w:hanging="360"/>
      </w:pPr>
      <w:rPr>
        <w:rFonts w:ascii="Times New Roman" w:cs="Times New Roman" w:eastAsia="Times New Roman" w:hAnsi="Times New Roman"/>
      </w:rPr>
    </w:lvl>
    <w:lvl w:ilvl="7">
      <w:start w:val="1"/>
      <w:numFmt w:val="lowerLetter"/>
      <w:lvlText w:val="%8."/>
      <w:lvlJc w:val="left"/>
      <w:pPr>
        <w:ind w:left="6480" w:hanging="360"/>
      </w:pPr>
      <w:rPr>
        <w:rFonts w:ascii="Times New Roman" w:cs="Times New Roman" w:eastAsia="Times New Roman" w:hAnsi="Times New Roman"/>
      </w:rPr>
    </w:lvl>
    <w:lvl w:ilvl="8">
      <w:start w:val="1"/>
      <w:numFmt w:val="lowerRoman"/>
      <w:lvlText w:val="%9."/>
      <w:lvlJc w:val="right"/>
      <w:pPr>
        <w:ind w:left="7200" w:hanging="180"/>
      </w:pPr>
      <w:rPr>
        <w:rFonts w:ascii="Times New Roman" w:cs="Times New Roman" w:eastAsia="Times New Roman" w:hAnsi="Times New Roman"/>
      </w:rPr>
    </w:lvl>
  </w:abstractNum>
  <w:abstractNum w:abstractNumId="7">
    <w:lvl w:ilvl="0">
      <w:start w:val="1"/>
      <w:numFmt w:val="lowerLetter"/>
      <w:lvlText w:val="%1."/>
      <w:lvlJc w:val="left"/>
      <w:pPr>
        <w:ind w:left="1230" w:hanging="360"/>
      </w:pPr>
      <w:rPr/>
    </w:lvl>
    <w:lvl w:ilvl="1">
      <w:start w:val="1"/>
      <w:numFmt w:val="lowerLetter"/>
      <w:lvlText w:val="%2."/>
      <w:lvlJc w:val="left"/>
      <w:pPr>
        <w:ind w:left="1950" w:hanging="360"/>
      </w:pPr>
      <w:rPr/>
    </w:lvl>
    <w:lvl w:ilvl="2">
      <w:start w:val="1"/>
      <w:numFmt w:val="lowerRoman"/>
      <w:lvlText w:val="%3."/>
      <w:lvlJc w:val="right"/>
      <w:pPr>
        <w:ind w:left="2670" w:hanging="180"/>
      </w:pPr>
      <w:rPr/>
    </w:lvl>
    <w:lvl w:ilvl="3">
      <w:start w:val="1"/>
      <w:numFmt w:val="decimal"/>
      <w:lvlText w:val="%4."/>
      <w:lvlJc w:val="left"/>
      <w:pPr>
        <w:ind w:left="3390" w:hanging="360"/>
      </w:pPr>
      <w:rPr/>
    </w:lvl>
    <w:lvl w:ilvl="4">
      <w:start w:val="1"/>
      <w:numFmt w:val="lowerLetter"/>
      <w:lvlText w:val="%5."/>
      <w:lvlJc w:val="left"/>
      <w:pPr>
        <w:ind w:left="4110" w:hanging="360"/>
      </w:pPr>
      <w:rPr/>
    </w:lvl>
    <w:lvl w:ilvl="5">
      <w:start w:val="1"/>
      <w:numFmt w:val="lowerRoman"/>
      <w:lvlText w:val="%6."/>
      <w:lvlJc w:val="right"/>
      <w:pPr>
        <w:ind w:left="4830" w:hanging="180"/>
      </w:pPr>
      <w:rPr/>
    </w:lvl>
    <w:lvl w:ilvl="6">
      <w:start w:val="1"/>
      <w:numFmt w:val="decimal"/>
      <w:lvlText w:val="%7."/>
      <w:lvlJc w:val="left"/>
      <w:pPr>
        <w:ind w:left="5550" w:hanging="360"/>
      </w:pPr>
      <w:rPr/>
    </w:lvl>
    <w:lvl w:ilvl="7">
      <w:start w:val="1"/>
      <w:numFmt w:val="lowerLetter"/>
      <w:lvlText w:val="%8."/>
      <w:lvlJc w:val="left"/>
      <w:pPr>
        <w:ind w:left="6270" w:hanging="360"/>
      </w:pPr>
      <w:rPr/>
    </w:lvl>
    <w:lvl w:ilvl="8">
      <w:start w:val="1"/>
      <w:numFmt w:val="lowerRoman"/>
      <w:lvlText w:val="%9."/>
      <w:lvlJc w:val="right"/>
      <w:pPr>
        <w:ind w:left="6990" w:hanging="180"/>
      </w:pPr>
      <w:rPr/>
    </w:lvl>
  </w:abstractNum>
  <w:abstractNum w:abstractNumId="8">
    <w:lvl w:ilvl="0">
      <w:start w:val="1"/>
      <w:numFmt w:val="lowerLetter"/>
      <w:lvlText w:val="%1."/>
      <w:lvlJc w:val="left"/>
      <w:pPr>
        <w:ind w:left="1230" w:hanging="360"/>
      </w:pPr>
      <w:rPr/>
    </w:lvl>
    <w:lvl w:ilvl="1">
      <w:start w:val="1"/>
      <w:numFmt w:val="lowerLetter"/>
      <w:lvlText w:val="%2."/>
      <w:lvlJc w:val="left"/>
      <w:pPr>
        <w:ind w:left="1950" w:hanging="360"/>
      </w:pPr>
      <w:rPr/>
    </w:lvl>
    <w:lvl w:ilvl="2">
      <w:start w:val="1"/>
      <w:numFmt w:val="lowerRoman"/>
      <w:lvlText w:val="%3."/>
      <w:lvlJc w:val="right"/>
      <w:pPr>
        <w:ind w:left="2670" w:hanging="180"/>
      </w:pPr>
      <w:rPr/>
    </w:lvl>
    <w:lvl w:ilvl="3">
      <w:start w:val="1"/>
      <w:numFmt w:val="decimal"/>
      <w:lvlText w:val="%4."/>
      <w:lvlJc w:val="left"/>
      <w:pPr>
        <w:ind w:left="3390" w:hanging="360"/>
      </w:pPr>
      <w:rPr/>
    </w:lvl>
    <w:lvl w:ilvl="4">
      <w:start w:val="1"/>
      <w:numFmt w:val="lowerLetter"/>
      <w:lvlText w:val="%5."/>
      <w:lvlJc w:val="left"/>
      <w:pPr>
        <w:ind w:left="4110" w:hanging="360"/>
      </w:pPr>
      <w:rPr/>
    </w:lvl>
    <w:lvl w:ilvl="5">
      <w:start w:val="1"/>
      <w:numFmt w:val="lowerRoman"/>
      <w:lvlText w:val="%6."/>
      <w:lvlJc w:val="right"/>
      <w:pPr>
        <w:ind w:left="4830" w:hanging="180"/>
      </w:pPr>
      <w:rPr/>
    </w:lvl>
    <w:lvl w:ilvl="6">
      <w:start w:val="1"/>
      <w:numFmt w:val="decimal"/>
      <w:lvlText w:val="%7."/>
      <w:lvlJc w:val="left"/>
      <w:pPr>
        <w:ind w:left="5550" w:hanging="360"/>
      </w:pPr>
      <w:rPr/>
    </w:lvl>
    <w:lvl w:ilvl="7">
      <w:start w:val="1"/>
      <w:numFmt w:val="lowerLetter"/>
      <w:lvlText w:val="%8."/>
      <w:lvlJc w:val="left"/>
      <w:pPr>
        <w:ind w:left="6270" w:hanging="360"/>
      </w:pPr>
      <w:rPr/>
    </w:lvl>
    <w:lvl w:ilvl="8">
      <w:start w:val="1"/>
      <w:numFmt w:val="lowerRoman"/>
      <w:lvlText w:val="%9."/>
      <w:lvlJc w:val="right"/>
      <w:pPr>
        <w:ind w:left="6990" w:hanging="180"/>
      </w:pPr>
      <w:rPr/>
    </w:lvl>
  </w:abstractNum>
  <w:abstractNum w:abstractNumId="9">
    <w:lvl w:ilvl="0">
      <w:start w:val="1"/>
      <w:numFmt w:val="lowerRoman"/>
      <w:lvlText w:val="%1."/>
      <w:lvlJc w:val="right"/>
      <w:pPr>
        <w:ind w:left="1440" w:hanging="360"/>
      </w:pPr>
      <w:rPr>
        <w:rFonts w:ascii="Tahoma" w:cs="Tahoma" w:eastAsia="Tahoma" w:hAnsi="Tahoma"/>
        <w:sz w:val="24"/>
        <w:szCs w:val="24"/>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lowerRoman"/>
      <w:lvlText w:val="%1."/>
      <w:lvlJc w:val="right"/>
      <w:pPr>
        <w:ind w:left="793" w:hanging="360"/>
      </w:pPr>
      <w:rPr>
        <w:rFonts w:ascii="Tahoma" w:cs="Tahoma" w:eastAsia="Tahoma" w:hAnsi="Tahoma"/>
        <w:sz w:val="24"/>
        <w:szCs w:val="24"/>
      </w:rPr>
    </w:lvl>
    <w:lvl w:ilvl="1">
      <w:start w:val="1"/>
      <w:numFmt w:val="lowerLetter"/>
      <w:lvlText w:val="%2."/>
      <w:lvlJc w:val="left"/>
      <w:pPr>
        <w:ind w:left="1513" w:hanging="360"/>
      </w:pPr>
      <w:rPr/>
    </w:lvl>
    <w:lvl w:ilvl="2">
      <w:start w:val="1"/>
      <w:numFmt w:val="lowerRoman"/>
      <w:lvlText w:val="%3."/>
      <w:lvlJc w:val="right"/>
      <w:pPr>
        <w:ind w:left="2233" w:hanging="180"/>
      </w:pPr>
      <w:rPr/>
    </w:lvl>
    <w:lvl w:ilvl="3">
      <w:start w:val="1"/>
      <w:numFmt w:val="decimal"/>
      <w:lvlText w:val="%4."/>
      <w:lvlJc w:val="left"/>
      <w:pPr>
        <w:ind w:left="2953" w:hanging="360"/>
      </w:pPr>
      <w:rPr/>
    </w:lvl>
    <w:lvl w:ilvl="4">
      <w:start w:val="1"/>
      <w:numFmt w:val="lowerLetter"/>
      <w:lvlText w:val="%5."/>
      <w:lvlJc w:val="left"/>
      <w:pPr>
        <w:ind w:left="3673" w:hanging="360"/>
      </w:pPr>
      <w:rPr/>
    </w:lvl>
    <w:lvl w:ilvl="5">
      <w:start w:val="1"/>
      <w:numFmt w:val="lowerRoman"/>
      <w:lvlText w:val="%6."/>
      <w:lvlJc w:val="right"/>
      <w:pPr>
        <w:ind w:left="4393" w:hanging="180"/>
      </w:pPr>
      <w:rPr/>
    </w:lvl>
    <w:lvl w:ilvl="6">
      <w:start w:val="1"/>
      <w:numFmt w:val="decimal"/>
      <w:lvlText w:val="%7."/>
      <w:lvlJc w:val="left"/>
      <w:pPr>
        <w:ind w:left="5113" w:hanging="360"/>
      </w:pPr>
      <w:rPr/>
    </w:lvl>
    <w:lvl w:ilvl="7">
      <w:start w:val="1"/>
      <w:numFmt w:val="lowerLetter"/>
      <w:lvlText w:val="%8."/>
      <w:lvlJc w:val="left"/>
      <w:pPr>
        <w:ind w:left="5833" w:hanging="360"/>
      </w:pPr>
      <w:rPr/>
    </w:lvl>
    <w:lvl w:ilvl="8">
      <w:start w:val="1"/>
      <w:numFmt w:val="lowerRoman"/>
      <w:lvlText w:val="%9."/>
      <w:lvlJc w:val="right"/>
      <w:pPr>
        <w:ind w:left="655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headofpublicservice.go.ke" TargetMode="External"/><Relationship Id="rId7" Type="http://schemas.openxmlformats.org/officeDocument/2006/relationships/hyperlink" Target="mailto:alrcoffice@headofpublicservice.go.k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